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25ADC22B" w:rsidR="00B8670C" w:rsidRDefault="00D4109F" w:rsidP="00B8670C">
      <w:pPr>
        <w:spacing w:after="160" w:line="259" w:lineRule="auto"/>
        <w:rPr>
          <w:kern w:val="36"/>
          <w:sz w:val="72"/>
          <w:szCs w:val="72"/>
          <w:highlight w:val="yellow"/>
        </w:rPr>
      </w:pPr>
      <w:r>
        <w:rPr>
          <w:rFonts w:cs="Arial"/>
          <w:noProof/>
          <w:color w:val="009975"/>
        </w:rPr>
        <w:drawing>
          <wp:anchor distT="0" distB="0" distL="114300" distR="114300" simplePos="0" relativeHeight="251658240" behindDoc="0" locked="0" layoutInCell="1" allowOverlap="1" wp14:anchorId="07F99DDF" wp14:editId="3039D890">
            <wp:simplePos x="0" y="0"/>
            <wp:positionH relativeFrom="margin">
              <wp:posOffset>-459105</wp:posOffset>
            </wp:positionH>
            <wp:positionV relativeFrom="margin">
              <wp:posOffset>-1045845</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r w:rsidR="000F6B60"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5FEAD09">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53F240D3"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D4109F">
                              <w:rPr>
                                <w:rFonts w:ascii="Manrope" w:hAnsi="Manrope"/>
                                <w:color w:val="FFFFFF" w:themeColor="background1"/>
                                <w:spacing w:val="1"/>
                                <w:sz w:val="36"/>
                                <w:szCs w:val="36"/>
                              </w:rPr>
                              <w:t>Richeard Lort</w:t>
                            </w:r>
                          </w:p>
                          <w:p w14:paraId="2FF52822" w14:textId="5EA371E1"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572075">
                              <w:rPr>
                                <w:rFonts w:ascii="Manrope" w:hAnsi="Manrope"/>
                                <w:color w:val="FFFFFF" w:themeColor="background1"/>
                                <w:sz w:val="36"/>
                                <w:szCs w:val="36"/>
                              </w:rPr>
                              <w:t>Nick Simpson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53F240D3"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D4109F">
                        <w:rPr>
                          <w:rFonts w:ascii="Manrope" w:hAnsi="Manrope"/>
                          <w:color w:val="FFFFFF" w:themeColor="background1"/>
                          <w:spacing w:val="1"/>
                          <w:sz w:val="36"/>
                          <w:szCs w:val="36"/>
                        </w:rPr>
                        <w:t>Richeard Lort</w:t>
                      </w:r>
                    </w:p>
                    <w:p w14:paraId="2FF52822" w14:textId="5EA371E1"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572075">
                        <w:rPr>
                          <w:rFonts w:ascii="Manrope" w:hAnsi="Manrope"/>
                          <w:color w:val="FFFFFF" w:themeColor="background1"/>
                          <w:sz w:val="36"/>
                          <w:szCs w:val="36"/>
                        </w:rPr>
                        <w:t>Nick Simpson</w:t>
                      </w:r>
                    </w:p>
                  </w:txbxContent>
                </v:textbox>
                <w10:wrap anchory="page"/>
                <w10:anchorlock/>
              </v:shape>
            </w:pict>
          </mc:Fallback>
        </mc:AlternateContent>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w:t>
        </w:r>
        <w:proofErr w:type="spellStart"/>
        <w:r w:rsidRPr="00014AD7">
          <w:rPr>
            <w:rStyle w:val="Hyperlink"/>
            <w:rFonts w:ascii="Tahoma" w:hAnsi="Tahoma" w:cs="Tahoma"/>
            <w:kern w:val="22"/>
          </w:rPr>
          <w:t>KCSiE</w:t>
        </w:r>
        <w:proofErr w:type="spellEnd"/>
        <w:r w:rsidRPr="00014AD7">
          <w:rPr>
            <w:rStyle w:val="Hyperlink"/>
            <w:rFonts w:ascii="Tahoma" w:hAnsi="Tahoma" w:cs="Tahoma"/>
            <w:kern w:val="22"/>
          </w:rPr>
          <w:t>)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w:t>
      </w:r>
      <w:proofErr w:type="spellStart"/>
      <w:r w:rsidRPr="00767A26">
        <w:rPr>
          <w:rFonts w:ascii="Tahoma" w:hAnsi="Tahoma" w:cs="Tahoma"/>
          <w:kern w:val="22"/>
        </w:rPr>
        <w:t>CoCE</w:t>
      </w:r>
      <w:proofErr w:type="spellEnd"/>
      <w:r w:rsidRPr="00767A26">
        <w:rPr>
          <w:rFonts w:ascii="Tahoma" w:hAnsi="Tahoma" w:cs="Tahoma"/>
          <w:kern w:val="22"/>
        </w:rPr>
        <w:t>)</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proofErr w:type="gramStart"/>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the opportunity to</w:t>
      </w:r>
      <w:proofErr w:type="gramEnd"/>
      <w:r w:rsidR="002B015A" w:rsidRPr="00767A26">
        <w:rPr>
          <w:rStyle w:val="ui-provider"/>
          <w:rFonts w:ascii="Tahoma" w:hAnsi="Tahoma" w:cs="Tahoma"/>
          <w:kern w:val="22"/>
        </w:rPr>
        <w:t xml:space="preserve">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 xml:space="preserve">Any such arrangements should be proportionate and </w:t>
      </w:r>
      <w:proofErr w:type="gramStart"/>
      <w:r w:rsidRPr="00965AA9">
        <w:rPr>
          <w:rFonts w:cs="Tahoma"/>
          <w:sz w:val="22"/>
          <w:szCs w:val="22"/>
          <w:lang w:val="en-GB"/>
        </w:rPr>
        <w:t>risk-based</w:t>
      </w:r>
      <w:proofErr w:type="gramEnd"/>
      <w:r w:rsidRPr="00965AA9">
        <w:rPr>
          <w:rFonts w:cs="Tahoma"/>
          <w:sz w:val="22"/>
          <w:szCs w:val="22"/>
          <w:lang w:val="en-GB"/>
        </w:rPr>
        <w:t>.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proofErr w:type="gramStart"/>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w:t>
      </w:r>
      <w:proofErr w:type="gramEnd"/>
      <w:r w:rsidR="00CD426A" w:rsidRPr="00014AD7">
        <w:rPr>
          <w:rFonts w:ascii="Tahoma" w:hAnsi="Tahoma" w:cs="Tahoma"/>
          <w:bCs/>
          <w:iCs/>
        </w:rPr>
        <w:t xml:space="preserve">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proofErr w:type="gramStart"/>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w:t>
      </w:r>
      <w:proofErr w:type="gramEnd"/>
      <w:r w:rsidR="000F6B60" w:rsidRPr="00014AD7">
        <w:rPr>
          <w:rFonts w:ascii="Tahoma" w:hAnsi="Tahoma" w:cs="Tahoma"/>
          <w:color w:val="000000" w:themeColor="text1"/>
          <w:szCs w:val="22"/>
        </w:rPr>
        <w:t xml:space="preserve">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proofErr w:type="gramStart"/>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w:t>
      </w:r>
      <w:proofErr w:type="gramEnd"/>
      <w:r w:rsidR="000F6B60" w:rsidRPr="00014AD7">
        <w:rPr>
          <w:rFonts w:ascii="Tahoma" w:hAnsi="Tahoma" w:cs="Tahoma"/>
          <w:szCs w:val="22"/>
        </w:rPr>
        <w:t xml:space="preserve">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3F54B894">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5512" w14:textId="77777777" w:rsidR="001861B3" w:rsidRDefault="001861B3" w:rsidP="00BF557A">
      <w:pPr>
        <w:spacing w:after="0"/>
      </w:pPr>
      <w:r>
        <w:separator/>
      </w:r>
    </w:p>
  </w:endnote>
  <w:endnote w:type="continuationSeparator" w:id="0">
    <w:p w14:paraId="01315D9D" w14:textId="77777777" w:rsidR="001861B3" w:rsidRDefault="001861B3" w:rsidP="00BF557A">
      <w:pPr>
        <w:spacing w:after="0"/>
      </w:pPr>
      <w:r>
        <w:continuationSeparator/>
      </w:r>
    </w:p>
  </w:endnote>
  <w:endnote w:type="continuationNotice" w:id="1">
    <w:p w14:paraId="1C92A74A" w14:textId="77777777" w:rsidR="001861B3" w:rsidRDefault="00186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proofErr w:type="spellStart"/>
                    <w:r w:rsidRPr="00964618">
                      <w:rPr>
                        <w:rFonts w:ascii="Manrope ExtraLight" w:hAnsi="Manrope ExtraLight" w:cs="Manrope ExtraLight"/>
                        <w:b/>
                        <w:bCs/>
                        <w:color w:val="5C8A91"/>
                        <w:sz w:val="18"/>
                        <w:szCs w:val="18"/>
                      </w:rPr>
                      <w:t>Policy</w:t>
                    </w:r>
                    <w:proofErr w:type="spellEnd"/>
                    <w:r w:rsidRPr="00964618">
                      <w:rPr>
                        <w:rFonts w:ascii="Manrope ExtraLight" w:hAnsi="Manrope ExtraLight" w:cs="Manrope ExtraLight"/>
                        <w:b/>
                        <w:bCs/>
                        <w:color w:val="5C8A91"/>
                        <w:sz w:val="18"/>
                        <w:szCs w:val="18"/>
                      </w:rPr>
                      <w:t xml:space="preserve">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A581"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572075" w:rsidP="009A2CF4">
    <w:pPr>
      <w:pStyle w:val="Footer"/>
      <w:jc w:val="right"/>
      <w:rPr>
        <w:sz w:val="18"/>
        <w:szCs w:val="18"/>
      </w:rPr>
    </w:pPr>
    <w:sdt>
      <w:sdtPr>
        <w:rPr>
          <w:sz w:val="18"/>
          <w:szCs w:val="18"/>
        </w:rPr>
        <w:id w:val="-1715726395"/>
        <w:docPartObj>
          <w:docPartGallery w:val="Page Numbers (Top of Page)"/>
          <w:docPartUnique/>
        </w:docPartObj>
      </w:sdtPr>
      <w:sdtEnd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A6EE" w14:textId="77777777" w:rsidR="001861B3" w:rsidRDefault="001861B3" w:rsidP="00BF557A">
      <w:pPr>
        <w:spacing w:after="0"/>
      </w:pPr>
      <w:r>
        <w:separator/>
      </w:r>
    </w:p>
  </w:footnote>
  <w:footnote w:type="continuationSeparator" w:id="0">
    <w:p w14:paraId="6DCE1BC2" w14:textId="77777777" w:rsidR="001861B3" w:rsidRDefault="001861B3" w:rsidP="00BF557A">
      <w:pPr>
        <w:spacing w:after="0"/>
      </w:pPr>
      <w:r>
        <w:continuationSeparator/>
      </w:r>
    </w:p>
  </w:footnote>
  <w:footnote w:type="continuationNotice" w:id="1">
    <w:p w14:paraId="3A2BEC95" w14:textId="77777777" w:rsidR="001861B3" w:rsidRDefault="001861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B754B"/>
    <w:rsid w:val="003C0A0B"/>
    <w:rsid w:val="003C1193"/>
    <w:rsid w:val="003C1A2F"/>
    <w:rsid w:val="003C2C2A"/>
    <w:rsid w:val="003C2F97"/>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207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3F3D"/>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412"/>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09F"/>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3.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2.xml><?xml version="1.0" encoding="utf-8"?>
<ds:datastoreItem xmlns:ds="http://schemas.openxmlformats.org/officeDocument/2006/customXml" ds:itemID="{4A78012D-1E0D-4CA9-B351-46CBAF67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E19B796D-89ED-40AA-B07C-BEAEE5AEE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Nicola Chokkuea</cp:lastModifiedBy>
  <cp:revision>4</cp:revision>
  <dcterms:created xsi:type="dcterms:W3CDTF">2025-09-01T09:09:00Z</dcterms:created>
  <dcterms:modified xsi:type="dcterms:W3CDTF">2025-11-24T10:49:00Z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